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0EBDC">
      <w:pPr>
        <w:pStyle w:val="11"/>
        <w:bidi w:val="0"/>
      </w:pPr>
      <w:r>
        <w:t>贵阳幼儿师范高等专科学校《体育智能应用》微专业招生简章</w:t>
      </w:r>
    </w:p>
    <w:p w14:paraId="1FC67D6C">
      <w:pPr>
        <w:bidi w:val="0"/>
        <w:rPr>
          <w:rFonts w:hint="eastAsia"/>
        </w:rPr>
      </w:pPr>
    </w:p>
    <w:p w14:paraId="427D0EAE">
      <w:pPr>
        <w:pStyle w:val="2"/>
        <w:bidi w:val="0"/>
        <w:rPr>
          <w:rFonts w:hint="eastAsia"/>
        </w:rPr>
      </w:pPr>
      <w:r>
        <w:rPr>
          <w:rFonts w:hint="eastAsia"/>
        </w:rPr>
        <w:t>一、微专业介绍</w:t>
      </w:r>
    </w:p>
    <w:p w14:paraId="4C647245">
      <w:pPr>
        <w:bidi w:val="0"/>
        <w:rPr>
          <w:rFonts w:hint="eastAsia"/>
        </w:rPr>
      </w:pPr>
      <w:r>
        <w:t>在数字技术加速重塑体育产业、健康服务与运动场景的今天，体育不再只是“会教、会练、会组织”，更需要“会观察、会采集、会分析、会转化”。为回应智慧体育、数字体育、体教融合与健康中国建设的新需求，贵阳幼儿师范高等专科学校依托学校体育与健康教育优势，面向全校学生开设《体育智能应用》微专业。</w:t>
      </w:r>
    </w:p>
    <w:p w14:paraId="575E6C47">
      <w:pPr>
        <w:bidi w:val="0"/>
        <w:rPr>
          <w:rFonts w:hint="eastAsia"/>
        </w:rPr>
      </w:pPr>
      <w:r>
        <w:t>这是一门面向未来、也面向真实岗位的微专业。它聚焦体育智能运营、运动数据采集、可穿戴监测、比赛视频分析、智能产品设计等核心能力，采用“课程学习+项目实践+场景实训”一体化培养模式。无论你来自体育教育、学前教育、早期教育、托育、信息技术还是其他专业，只要你愿意跨出一步，这里都欢迎你把兴趣变成能力，把能力变成更宽的职业可能。</w:t>
      </w:r>
    </w:p>
    <w:p w14:paraId="5C79EB31">
      <w:pPr>
        <w:pStyle w:val="2"/>
        <w:bidi w:val="0"/>
        <w:rPr>
          <w:rFonts w:hint="eastAsia"/>
        </w:rPr>
      </w:pPr>
      <w:bookmarkStart w:id="0" w:name="heading_1"/>
      <w:r>
        <w:rPr>
          <w:rFonts w:hint="eastAsia"/>
        </w:rPr>
        <w:t>二、培养目标</w:t>
      </w:r>
      <w:bookmarkEnd w:id="0"/>
    </w:p>
    <w:p w14:paraId="06653694">
      <w:pPr>
        <w:bidi w:val="0"/>
        <w:rPr>
          <w:rFonts w:hint="eastAsia"/>
          <w:lang w:eastAsia="zh-CN"/>
        </w:rPr>
      </w:pPr>
      <w:r>
        <w:t>本微专业坚持“交叉融合、实践导向、能力本位、温暖育人”的培养定位，着力培养能够适应体育新业态、新岗位的新型复合人才。通过系统学习，学生将逐步形成以下发展目标：</w:t>
      </w:r>
    </w:p>
    <w:p w14:paraId="723E9A42">
      <w:pPr>
        <w:bidi w:val="0"/>
        <w:rPr>
          <w:rFonts w:hint="eastAsia"/>
        </w:rPr>
      </w:pPr>
      <w:r>
        <w:rPr>
          <w:rFonts w:ascii="Times New Roman" w:hAnsi="Times New Roman"/>
        </w:rPr>
        <w:t>1</w:t>
      </w:r>
      <w:r>
        <w:t>.掌握体育智能应用的基本理论、行业发展趋势、职业规范与岗位标准，建立“体育+数据+技术+服务”的复合认知结构；</w:t>
      </w:r>
    </w:p>
    <w:p w14:paraId="52B0C07D">
      <w:pPr>
        <w:bidi w:val="0"/>
        <w:rPr>
          <w:rFonts w:hint="eastAsia"/>
        </w:rPr>
      </w:pPr>
      <w:r>
        <w:rPr>
          <w:rFonts w:ascii="Times New Roman" w:hAnsi="Times New Roman"/>
        </w:rPr>
        <w:t>2</w:t>
      </w:r>
      <w:r>
        <w:t>.具备体育数据采集、整理、分析与可视化表达能力，能够在真实场景中运用智能工具辅助教学、训练、管理与服务；</w:t>
      </w:r>
    </w:p>
    <w:p w14:paraId="28138A2F">
      <w:pPr>
        <w:bidi w:val="0"/>
        <w:rPr>
          <w:rFonts w:hint="eastAsia"/>
        </w:rPr>
      </w:pPr>
      <w:r>
        <w:rPr>
          <w:rFonts w:ascii="Times New Roman" w:hAnsi="Times New Roman"/>
        </w:rPr>
        <w:t>3</w:t>
      </w:r>
      <w:r>
        <w:t>.具备可穿戴设备应用、比赛视频分析、战术解读、基础产品设计与运营支持等岗位核心技能，能够参与解决行业中的实际问题；</w:t>
      </w:r>
    </w:p>
    <w:p w14:paraId="1D4A7721">
      <w:pPr>
        <w:bidi w:val="0"/>
        <w:rPr>
          <w:rFonts w:hint="eastAsia"/>
        </w:rPr>
      </w:pPr>
      <w:r>
        <w:rPr>
          <w:rFonts w:ascii="Times New Roman" w:hAnsi="Times New Roman"/>
        </w:rPr>
        <w:t>4</w:t>
      </w:r>
      <w:r>
        <w:t>.养成良好的职业道德、团队协作意识、用户思维与创新意识，增强就业适应力、职业迁移力和持续成长能力。</w:t>
      </w:r>
    </w:p>
    <w:p w14:paraId="746BCB37">
      <w:pPr>
        <w:pStyle w:val="2"/>
        <w:bidi w:val="0"/>
        <w:rPr>
          <w:rFonts w:hint="eastAsia"/>
        </w:rPr>
      </w:pPr>
      <w:bookmarkStart w:id="1" w:name="heading_2"/>
      <w:r>
        <w:rPr>
          <w:rFonts w:hint="eastAsia"/>
        </w:rPr>
        <w:t>三、师资力量</w:t>
      </w:r>
      <w:bookmarkEnd w:id="1"/>
    </w:p>
    <w:p w14:paraId="5871BCCF">
      <w:pPr>
        <w:bidi w:val="0"/>
        <w:rPr>
          <w:rFonts w:hint="eastAsia"/>
        </w:rPr>
      </w:pPr>
      <w:r>
        <w:t>本微专业实行“校内骨干教师+行业导师”双导师协同育人机制。校内教师负责课程教学、项目指导与学习支持，行业导师负责岗位案例引入、前沿技术分享与真实任务训练。团队既懂体育教育与运动训练，也熟悉数据采集、智能设备、数字运营与项目实践，能够为学生提供有专业深度、也有成长温度的学习陪伴。</w:t>
      </w:r>
    </w:p>
    <w:p w14:paraId="71FD541E">
      <w:pPr>
        <w:bidi w:val="0"/>
        <w:rPr>
          <w:rFonts w:hint="eastAsia"/>
          <w:lang w:val="en-US" w:eastAsia="zh-CN"/>
        </w:rPr>
      </w:pPr>
      <w:r>
        <w:t>同时，微专业将联动体育科技企业、运动健康服务机构及相关实践基地，共建课程案例、实训任务与职业体验活动，让学生在“做中学、学中用、用中长”。</w:t>
      </w:r>
      <w:bookmarkStart w:id="2" w:name="heading_3"/>
    </w:p>
    <w:p w14:paraId="3A8AB582">
      <w:pPr>
        <w:bidi w:val="0"/>
        <w:rPr>
          <w:rFonts w:hint="eastAsia"/>
          <w:lang w:val="en-US" w:eastAsia="zh-CN"/>
        </w:rPr>
      </w:pPr>
      <w:r>
        <w:t>拟任课与指导团队（以学校最终公布名单为准）：</w:t>
      </w:r>
    </w:p>
    <w:p w14:paraId="485F47D2">
      <w:pPr>
        <w:bidi w:val="0"/>
        <w:rPr>
          <w:rFonts w:hint="eastAsia"/>
          <w:lang w:val="en-US" w:eastAsia="zh-CN"/>
        </w:rPr>
      </w:pPr>
      <w:r>
        <w:t>以下为团队结构示例，可在正式发布时替换为具体教师姓名、职称、成果与照片。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2"/>
        <w:gridCol w:w="2999"/>
      </w:tblGrid>
      <w:tr w14:paraId="49950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2" w:type="dxa"/>
            <w:vAlign w:val="center"/>
          </w:tcPr>
          <w:p w14:paraId="4F86FDD9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简介</w:t>
            </w:r>
          </w:p>
        </w:tc>
        <w:tc>
          <w:tcPr>
            <w:tcW w:w="2999" w:type="dxa"/>
            <w:vAlign w:val="center"/>
          </w:tcPr>
          <w:p w14:paraId="677F01F3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照片</w:t>
            </w:r>
          </w:p>
        </w:tc>
      </w:tr>
      <w:tr w14:paraId="5FFE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2" w:type="dxa"/>
            <w:shd w:val="clear" w:color="auto" w:fill="auto"/>
            <w:vAlign w:val="center"/>
          </w:tcPr>
          <w:p w14:paraId="1CD0B1F3">
            <w:pPr>
              <w:pStyle w:val="14"/>
              <w:bidi w:val="0"/>
            </w:pPr>
            <w:r>
              <w:rPr>
                <w:rFonts w:ascii="Times New Roman" w:hAnsi="Times New Roman"/>
              </w:rPr>
              <w:t>1</w:t>
            </w:r>
            <w:r>
              <w:t>.校内专业负责人/学科带头人</w:t>
            </w:r>
            <w:r>
              <w:br w:type="textWrapping"/>
            </w:r>
            <w:r>
              <w:t>长期从事体育教育、幼儿体育与体育课程建设研究，熟悉体教融合与智慧体育发展趋势，具有较强的课程统筹、项目设计与学生指导能力。</w:t>
            </w:r>
          </w:p>
        </w:tc>
        <w:tc>
          <w:tcPr>
            <w:tcW w:w="2999" w:type="dxa"/>
            <w:shd w:val="clear" w:color="auto" w:fill="auto"/>
            <w:vAlign w:val="center"/>
          </w:tcPr>
          <w:p w14:paraId="242EAF23">
            <w:pPr>
              <w:pStyle w:val="14"/>
              <w:bidi w:val="0"/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-292100</wp:posOffset>
                  </wp:positionV>
                  <wp:extent cx="1728470" cy="1152525"/>
                  <wp:effectExtent l="0" t="0" r="5080" b="952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7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1119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2" w:type="dxa"/>
            <w:vAlign w:val="center"/>
          </w:tcPr>
          <w:p w14:paraId="66E61B2C">
            <w:pPr>
              <w:pStyle w:val="14"/>
              <w:bidi w:val="0"/>
            </w:pPr>
            <w:r>
              <w:rPr>
                <w:rFonts w:ascii="Times New Roman" w:hAnsi="Times New Roman"/>
              </w:rPr>
              <w:t>2</w:t>
            </w:r>
            <w:r>
              <w:t>.课程骨干教师</w:t>
            </w:r>
            <w:r>
              <w:br w:type="textWrapping"/>
            </w:r>
            <w:r>
              <w:t>聚焦体育数据采集与分析、可穿戴设备应用、比赛视频解读等方向，注重“技术工具+岗位任务”融合教学，擅长以项目驱动提升学生实践能力。</w:t>
            </w:r>
          </w:p>
        </w:tc>
        <w:tc>
          <w:tcPr>
            <w:tcW w:w="2999" w:type="dxa"/>
            <w:vAlign w:val="center"/>
          </w:tcPr>
          <w:p w14:paraId="758C4229">
            <w:pPr>
              <w:pStyle w:val="14"/>
              <w:bidi w:val="0"/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367030</wp:posOffset>
                  </wp:positionV>
                  <wp:extent cx="1940560" cy="1296670"/>
                  <wp:effectExtent l="0" t="0" r="2540" b="17780"/>
                  <wp:wrapSquare wrapText="bothSides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0560" cy="1296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A8D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2" w:type="dxa"/>
            <w:vAlign w:val="center"/>
          </w:tcPr>
          <w:p w14:paraId="0B29880B">
            <w:pPr>
              <w:pStyle w:val="14"/>
              <w:bidi w:val="0"/>
            </w:pPr>
            <w:r>
              <w:rPr>
                <w:rFonts w:ascii="Times New Roman" w:hAnsi="Times New Roman"/>
              </w:rPr>
              <w:t>3</w:t>
            </w:r>
            <w:r>
              <w:t>.行业企业导师</w:t>
            </w:r>
            <w:r>
              <w:br w:type="textWrapping"/>
            </w:r>
            <w:r>
              <w:t>来自体育科技或运动健康服务一线，熟悉智能产品应用、运动监测、赛事运营与场景落地，能够为学生提供真实案例、岗位经验与职业发展建议。</w:t>
            </w:r>
          </w:p>
        </w:tc>
        <w:tc>
          <w:tcPr>
            <w:tcW w:w="2999" w:type="dxa"/>
            <w:vAlign w:val="center"/>
          </w:tcPr>
          <w:p w14:paraId="08A6B706">
            <w:pPr>
              <w:pStyle w:val="14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184150</wp:posOffset>
                  </wp:positionV>
                  <wp:extent cx="1764030" cy="1323340"/>
                  <wp:effectExtent l="0" t="0" r="7620" b="10160"/>
                  <wp:wrapSquare wrapText="bothSides"/>
                  <wp:docPr id="2" name="图片 2" descr="a875110d4e8126d06945b1bb3e31a9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875110d4e8126d06945b1bb3e31a9e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30" cy="1323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6F9BE11">
      <w:pPr>
        <w:bidi w:val="0"/>
        <w:rPr>
          <w:rFonts w:hint="eastAsia"/>
          <w:lang w:val="en-US" w:eastAsia="zh-CN"/>
        </w:rPr>
      </w:pPr>
    </w:p>
    <w:p w14:paraId="6C1DBD3E">
      <w:pPr>
        <w:pStyle w:val="2"/>
        <w:bidi w:val="0"/>
        <w:rPr>
          <w:rFonts w:hint="eastAsia"/>
        </w:rPr>
      </w:pPr>
      <w:r>
        <w:rPr>
          <w:rFonts w:hint="eastAsia"/>
        </w:rPr>
        <w:t>四、招生对象和计划</w:t>
      </w:r>
      <w:bookmarkEnd w:id="2"/>
    </w:p>
    <w:p w14:paraId="5E6132FB">
      <w:pPr>
        <w:bidi w:val="0"/>
        <w:rPr>
          <w:rFonts w:hint="eastAsia"/>
        </w:rPr>
      </w:pPr>
      <w:r>
        <w:rPr>
          <w:rStyle w:val="12"/>
        </w:rPr>
        <w:t>（一）招生对象：</w:t>
      </w:r>
      <w:r>
        <w:t>主要面向我校全日制在校专科生，鼓励不同专业背景的同学报名修读，尤其欢迎对智慧体育、运动科技、数字运营、赛事分析等方向有兴趣的学生。报名学生须满足：</w:t>
      </w:r>
    </w:p>
    <w:p w14:paraId="1FDE9138">
      <w:pPr>
        <w:bidi w:val="0"/>
        <w:rPr>
          <w:rFonts w:hint="eastAsia"/>
        </w:rPr>
      </w:pPr>
      <w:r>
        <w:rPr>
          <w:rFonts w:ascii="Times New Roman" w:hAnsi="Times New Roman"/>
        </w:rPr>
        <w:t>1</w:t>
      </w:r>
      <w:r>
        <w:t>.学有余力，学习态度端正，具备较好的时间管理与自主学习能力；</w:t>
      </w:r>
    </w:p>
    <w:p w14:paraId="2F09E59C">
      <w:pPr>
        <w:bidi w:val="0"/>
        <w:rPr>
          <w:rFonts w:hint="eastAsia"/>
        </w:rPr>
      </w:pPr>
      <w:r>
        <w:rPr>
          <w:rFonts w:ascii="Times New Roman" w:hAnsi="Times New Roman"/>
        </w:rPr>
        <w:t>2</w:t>
      </w:r>
      <w:r>
        <w:t>.热爱体育事业，对智能技术、数据分析、数字化应用或相关岗位发展有浓厚兴趣；</w:t>
      </w:r>
    </w:p>
    <w:p w14:paraId="67C64786">
      <w:pPr>
        <w:bidi w:val="0"/>
        <w:rPr>
          <w:rFonts w:hint="eastAsia"/>
        </w:rPr>
      </w:pPr>
      <w:r>
        <w:rPr>
          <w:rFonts w:ascii="Times New Roman" w:hAnsi="Times New Roman"/>
        </w:rPr>
        <w:t>3</w:t>
      </w:r>
      <w:r>
        <w:t>.遵守学校规章制度，无违纪处分记录，能够坚持完成微专业全部学习任务。</w:t>
      </w:r>
    </w:p>
    <w:p w14:paraId="357275ED">
      <w:pPr>
        <w:bidi w:val="0"/>
        <w:rPr>
          <w:rFonts w:hint="eastAsia"/>
        </w:rPr>
      </w:pPr>
      <w:r>
        <w:rPr>
          <w:rStyle w:val="12"/>
        </w:rPr>
        <w:t>（二）招生计划：</w:t>
      </w:r>
      <w:r>
        <w:t>计划招收</w:t>
      </w:r>
      <w:r>
        <w:rPr>
          <w:rFonts w:hint="eastAsia" w:ascii="Times New Roman" w:hAnsi="Times New Roman"/>
          <w:lang w:val="en-US" w:eastAsia="zh-CN"/>
        </w:rPr>
        <w:t>50</w:t>
      </w:r>
      <w:r>
        <w:t>人，开设</w:t>
      </w:r>
      <w:r>
        <w:rPr>
          <w:rFonts w:ascii="Times New Roman" w:hAnsi="Times New Roman"/>
        </w:rPr>
        <w:t>1</w:t>
      </w:r>
      <w:r>
        <w:t>个班；最低开班人数为</w:t>
      </w:r>
      <w:r>
        <w:rPr>
          <w:rFonts w:ascii="Times New Roman" w:hAnsi="Times New Roman"/>
        </w:rPr>
        <w:t>40</w:t>
      </w:r>
      <w:r>
        <w:t>人。若报名人数超过计划数，将结合报名材料与学习基础择优录取。</w:t>
      </w:r>
      <w:bookmarkStart w:id="3" w:name="heading_6"/>
    </w:p>
    <w:p w14:paraId="03C9CF91">
      <w:pPr>
        <w:pStyle w:val="2"/>
        <w:bidi w:val="0"/>
        <w:rPr>
          <w:rFonts w:hint="eastAsia"/>
        </w:rPr>
      </w:pPr>
      <w:r>
        <w:rPr>
          <w:rFonts w:hint="eastAsia"/>
        </w:rPr>
        <w:t>五、学制、学分及证书</w:t>
      </w:r>
      <w:bookmarkEnd w:id="3"/>
    </w:p>
    <w:p w14:paraId="4BD2273A">
      <w:pPr>
        <w:bidi w:val="0"/>
        <w:rPr>
          <w:rFonts w:hint="eastAsia"/>
        </w:rPr>
      </w:pPr>
      <w:r>
        <w:t>（一）学制：</w:t>
      </w:r>
      <w:r>
        <w:rPr>
          <w:rFonts w:ascii="Times New Roman" w:hAnsi="Times New Roman"/>
        </w:rPr>
        <w:t>0</w:t>
      </w:r>
      <w:r>
        <w:t>.</w:t>
      </w:r>
      <w:r>
        <w:rPr>
          <w:rFonts w:ascii="Times New Roman" w:hAnsi="Times New Roman"/>
        </w:rPr>
        <w:t>5</w:t>
      </w:r>
      <w:r>
        <w:t>年，原则上安排在</w:t>
      </w:r>
      <w:r>
        <w:rPr>
          <w:rFonts w:ascii="Times New Roman" w:hAnsi="Times New Roman"/>
        </w:rPr>
        <w:t>2025</w:t>
      </w:r>
      <w:r>
        <w:t>—</w:t>
      </w:r>
      <w:r>
        <w:rPr>
          <w:rFonts w:ascii="Times New Roman" w:hAnsi="Times New Roman"/>
        </w:rPr>
        <w:t>2026</w:t>
      </w:r>
      <w:r>
        <w:t>学年第二学期修读，可根据学校教学实际适当调整。</w:t>
      </w:r>
    </w:p>
    <w:p w14:paraId="0918F2AB">
      <w:pPr>
        <w:bidi w:val="0"/>
        <w:rPr>
          <w:rFonts w:hint="eastAsia"/>
        </w:rPr>
      </w:pPr>
      <w:r>
        <w:t>（二）学分：总学分</w:t>
      </w:r>
      <w:r>
        <w:rPr>
          <w:rFonts w:ascii="Times New Roman" w:hAnsi="Times New Roman"/>
        </w:rPr>
        <w:t>10</w:t>
      </w:r>
      <w:r>
        <w:t>学分，课程均为必修，总学时</w:t>
      </w:r>
      <w:r>
        <w:rPr>
          <w:rFonts w:ascii="Times New Roman" w:hAnsi="Times New Roman"/>
        </w:rPr>
        <w:t>160</w:t>
      </w:r>
      <w:r>
        <w:t>学时。</w:t>
      </w:r>
    </w:p>
    <w:p w14:paraId="772C6063">
      <w:pPr>
        <w:bidi w:val="0"/>
        <w:rPr>
          <w:rFonts w:hint="eastAsia"/>
          <w:lang w:eastAsia="zh-CN"/>
        </w:rPr>
      </w:pPr>
      <w:r>
        <w:t>（三）证书说明：</w:t>
      </w:r>
    </w:p>
    <w:p w14:paraId="0FDA8624">
      <w:pPr>
        <w:bidi w:val="0"/>
        <w:rPr>
          <w:rFonts w:hint="eastAsia"/>
        </w:rPr>
      </w:pPr>
      <w:r>
        <w:rPr>
          <w:rFonts w:ascii="Times New Roman" w:hAnsi="Times New Roman"/>
        </w:rPr>
        <w:t>1</w:t>
      </w:r>
      <w:r>
        <w:t>.本微专业属于非学历教育项目，不单独授予学历或学位，按学校相关规定执行；</w:t>
      </w:r>
    </w:p>
    <w:p w14:paraId="12ACA413">
      <w:pPr>
        <w:bidi w:val="0"/>
        <w:rPr>
          <w:rFonts w:hint="eastAsia"/>
        </w:rPr>
      </w:pPr>
      <w:r>
        <w:rPr>
          <w:rFonts w:ascii="Times New Roman" w:hAnsi="Times New Roman"/>
        </w:rPr>
        <w:t>2</w:t>
      </w:r>
      <w:r>
        <w:t>.学生在规定学习周期内修完课程、成绩合格并完成相关实践任务，由学校统一颁发《体育智能应用》微专业结业证书；</w:t>
      </w:r>
    </w:p>
    <w:p w14:paraId="79EED20C">
      <w:pPr>
        <w:bidi w:val="0"/>
        <w:rPr>
          <w:rFonts w:hint="eastAsia"/>
        </w:rPr>
      </w:pPr>
      <w:r>
        <w:rPr>
          <w:rFonts w:ascii="Times New Roman" w:hAnsi="Times New Roman"/>
        </w:rPr>
        <w:t>3</w:t>
      </w:r>
      <w:r>
        <w:t>.微专业课程成绩实行单独管理，不影响主修专业毕业资格；符合学校相关认定条件的，可按规定申请学分认定或成果佐证。</w:t>
      </w:r>
      <w:bookmarkStart w:id="4" w:name="heading_10"/>
    </w:p>
    <w:p w14:paraId="01FAB162">
      <w:pPr>
        <w:pStyle w:val="2"/>
        <w:bidi w:val="0"/>
        <w:rPr>
          <w:rFonts w:hint="eastAsia"/>
        </w:rPr>
      </w:pPr>
      <w:r>
        <w:rPr>
          <w:rFonts w:hint="eastAsia"/>
        </w:rPr>
        <w:t>六、课程设置</w:t>
      </w:r>
      <w:bookmarkEnd w:id="4"/>
    </w:p>
    <w:tbl>
      <w:tblPr>
        <w:tblStyle w:val="7"/>
        <w:tblW w:w="9396" w:type="dxa"/>
        <w:jc w:val="center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2" w:space="0"/>
          <w:insideV w:val="single" w:color="000000" w:themeColor="text1" w:sz="2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6"/>
        <w:gridCol w:w="1435"/>
        <w:gridCol w:w="1200"/>
        <w:gridCol w:w="867"/>
        <w:gridCol w:w="1315"/>
        <w:gridCol w:w="1324"/>
        <w:gridCol w:w="1599"/>
      </w:tblGrid>
      <w:tr w14:paraId="792BE21B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atLeast"/>
          <w:jc w:val="center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77C259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课程名称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CDBF24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开课时间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8AA24B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学分数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1F95DE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学时数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D58DE7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开课单位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1F4EC5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授课方式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F7B403">
            <w:pPr>
              <w:pStyle w:val="14"/>
              <w:bidi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考核方式</w:t>
            </w:r>
          </w:p>
        </w:tc>
      </w:tr>
      <w:tr w14:paraId="17C6E8A7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2" w:hRule="atLeast"/>
          <w:jc w:val="center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A1990B">
            <w:pPr>
              <w:pStyle w:val="14"/>
              <w:bidi w:val="0"/>
              <w:jc w:val="center"/>
            </w:pPr>
            <w:r>
              <w:t>体育智能运营基础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E12C3A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2026</w:t>
            </w:r>
            <w:r>
              <w:t>年</w:t>
            </w:r>
            <w:r>
              <w:rPr>
                <w:rFonts w:ascii="Times New Roman" w:hAnsi="Times New Roman"/>
              </w:rPr>
              <w:t>5</w:t>
            </w:r>
            <w:r>
              <w:t>月—</w:t>
            </w:r>
            <w:r>
              <w:rPr>
                <w:rFonts w:ascii="Times New Roman" w:hAnsi="Times New Roman"/>
              </w:rPr>
              <w:t>6</w:t>
            </w:r>
            <w: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69C1EB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560838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AAD827">
            <w:pPr>
              <w:pStyle w:val="14"/>
              <w:bidi w:val="0"/>
              <w:jc w:val="center"/>
            </w:pPr>
            <w:r>
              <w:t>体育与健康系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CCD0DE4">
            <w:pPr>
              <w:pStyle w:val="14"/>
              <w:bidi w:val="0"/>
              <w:jc w:val="center"/>
            </w:pPr>
            <w:r>
              <w:t>线下/混合式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889BF4">
            <w:pPr>
              <w:pStyle w:val="14"/>
              <w:bidi w:val="0"/>
              <w:jc w:val="center"/>
            </w:pPr>
            <w:r>
              <w:t>项目作业+课堂表现</w:t>
            </w:r>
          </w:p>
        </w:tc>
      </w:tr>
      <w:tr w14:paraId="1CAE8FD7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5" w:hRule="atLeast"/>
          <w:jc w:val="center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5E7A96">
            <w:pPr>
              <w:pStyle w:val="14"/>
              <w:bidi w:val="0"/>
              <w:jc w:val="center"/>
            </w:pPr>
            <w:r>
              <w:t>体育数据采集与分析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17636F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2026</w:t>
            </w:r>
            <w:r>
              <w:t>年</w:t>
            </w:r>
            <w:r>
              <w:rPr>
                <w:rFonts w:ascii="Times New Roman" w:hAnsi="Times New Roman"/>
              </w:rPr>
              <w:t>5</w:t>
            </w:r>
            <w:r>
              <w:t>月—</w:t>
            </w:r>
            <w:r>
              <w:rPr>
                <w:rFonts w:ascii="Times New Roman" w:hAnsi="Times New Roman"/>
              </w:rPr>
              <w:t>6</w:t>
            </w:r>
            <w: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FA3F5C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7B7004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B284C8">
            <w:pPr>
              <w:pStyle w:val="14"/>
              <w:bidi w:val="0"/>
              <w:jc w:val="center"/>
            </w:pPr>
            <w:r>
              <w:t>体育与健康系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9445BF">
            <w:pPr>
              <w:pStyle w:val="14"/>
              <w:bidi w:val="0"/>
              <w:jc w:val="center"/>
            </w:pPr>
            <w:r>
              <w:t>线下/混合式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828069">
            <w:pPr>
              <w:pStyle w:val="14"/>
              <w:bidi w:val="0"/>
              <w:jc w:val="center"/>
            </w:pPr>
            <w:r>
              <w:t>实操考核+分析报告</w:t>
            </w:r>
          </w:p>
        </w:tc>
      </w:tr>
      <w:tr w14:paraId="7388D74C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56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8BE688">
            <w:pPr>
              <w:pStyle w:val="14"/>
              <w:bidi w:val="0"/>
              <w:jc w:val="center"/>
            </w:pPr>
            <w:r>
              <w:t>体育智能产品设计基础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66FBA1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2026</w:t>
            </w:r>
            <w:r>
              <w:t>年</w:t>
            </w:r>
            <w:r>
              <w:rPr>
                <w:rFonts w:ascii="Times New Roman" w:hAnsi="Times New Roman"/>
              </w:rPr>
              <w:t>6</w:t>
            </w:r>
            <w: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CA9601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B8D2A9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0CD1CE">
            <w:pPr>
              <w:pStyle w:val="14"/>
              <w:bidi w:val="0"/>
              <w:jc w:val="center"/>
            </w:pPr>
            <w:r>
              <w:t>体育与健康系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6F6E00">
            <w:pPr>
              <w:pStyle w:val="14"/>
              <w:bidi w:val="0"/>
              <w:jc w:val="center"/>
            </w:pPr>
            <w:r>
              <w:t>线下/混合式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2C5FD3">
            <w:pPr>
              <w:pStyle w:val="14"/>
              <w:bidi w:val="0"/>
              <w:jc w:val="center"/>
            </w:pPr>
            <w:r>
              <w:t>项目设计+展示答辩</w:t>
            </w:r>
          </w:p>
        </w:tc>
      </w:tr>
      <w:tr w14:paraId="6819ECD1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56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E5C796">
            <w:pPr>
              <w:pStyle w:val="14"/>
              <w:bidi w:val="0"/>
              <w:jc w:val="center"/>
            </w:pPr>
            <w:r>
              <w:t>可穿戴设备与运动监测技术</w:t>
            </w:r>
          </w:p>
        </w:tc>
        <w:tc>
          <w:tcPr>
            <w:tcW w:w="1435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46402C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2026</w:t>
            </w:r>
            <w:r>
              <w:t>年</w:t>
            </w:r>
            <w:r>
              <w:rPr>
                <w:rFonts w:ascii="Times New Roman" w:hAnsi="Times New Roman"/>
              </w:rPr>
              <w:t>6</w:t>
            </w:r>
            <w:r>
              <w:t>月—</w:t>
            </w:r>
            <w:r>
              <w:rPr>
                <w:rFonts w:ascii="Times New Roman" w:hAnsi="Times New Roman"/>
              </w:rPr>
              <w:t>7</w:t>
            </w:r>
            <w:r>
              <w:t>月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82F881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5236D5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AB6F4B">
            <w:pPr>
              <w:pStyle w:val="14"/>
              <w:bidi w:val="0"/>
              <w:jc w:val="center"/>
            </w:pPr>
            <w:r>
              <w:t>体育与健康系</w:t>
            </w:r>
          </w:p>
        </w:tc>
        <w:tc>
          <w:tcPr>
            <w:tcW w:w="1324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F1DE2E">
            <w:pPr>
              <w:pStyle w:val="14"/>
              <w:bidi w:val="0"/>
              <w:jc w:val="center"/>
            </w:pPr>
            <w:r>
              <w:t>线下/混合式</w:t>
            </w:r>
          </w:p>
        </w:tc>
        <w:tc>
          <w:tcPr>
            <w:tcW w:w="159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CAE205">
            <w:pPr>
              <w:pStyle w:val="14"/>
              <w:bidi w:val="0"/>
              <w:jc w:val="center"/>
            </w:pPr>
            <w:r>
              <w:t>技能实训+案例分析</w:t>
            </w:r>
          </w:p>
        </w:tc>
      </w:tr>
      <w:tr w14:paraId="192B6134"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2" w:space="0"/>
            <w:insideV w:val="single" w:color="000000" w:themeColor="text1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56" w:type="dxa"/>
          </w:tcPr>
          <w:p w14:paraId="3F6A21A8">
            <w:pPr>
              <w:pStyle w:val="14"/>
              <w:bidi w:val="0"/>
              <w:jc w:val="center"/>
            </w:pPr>
            <w:r>
              <w:t>比赛视频分析与智能战术解读</w:t>
            </w:r>
          </w:p>
        </w:tc>
        <w:tc>
          <w:tcPr>
            <w:tcW w:w="1435" w:type="dxa"/>
          </w:tcPr>
          <w:p w14:paraId="76C91F3D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2026</w:t>
            </w:r>
            <w:r>
              <w:t>年</w:t>
            </w:r>
            <w:r>
              <w:rPr>
                <w:rFonts w:ascii="Times New Roman" w:hAnsi="Times New Roman"/>
              </w:rPr>
              <w:t>6</w:t>
            </w:r>
            <w:r>
              <w:t>月—</w:t>
            </w:r>
            <w:r>
              <w:rPr>
                <w:rFonts w:ascii="Times New Roman" w:hAnsi="Times New Roman"/>
              </w:rPr>
              <w:t>7</w:t>
            </w:r>
            <w:r>
              <w:t>月</w:t>
            </w:r>
          </w:p>
        </w:tc>
        <w:tc>
          <w:tcPr>
            <w:tcW w:w="1200" w:type="dxa"/>
          </w:tcPr>
          <w:p w14:paraId="5D4DCD97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7" w:type="dxa"/>
          </w:tcPr>
          <w:p w14:paraId="0AF343F5">
            <w:pPr>
              <w:pStyle w:val="14"/>
              <w:bidi w:val="0"/>
              <w:jc w:val="center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15" w:type="dxa"/>
          </w:tcPr>
          <w:p w14:paraId="603CFE90">
            <w:pPr>
              <w:pStyle w:val="14"/>
              <w:bidi w:val="0"/>
              <w:jc w:val="center"/>
            </w:pPr>
            <w:r>
              <w:t>体育与健康系</w:t>
            </w:r>
          </w:p>
        </w:tc>
        <w:tc>
          <w:tcPr>
            <w:tcW w:w="1324" w:type="dxa"/>
          </w:tcPr>
          <w:p w14:paraId="434E5287">
            <w:pPr>
              <w:pStyle w:val="14"/>
              <w:bidi w:val="0"/>
              <w:jc w:val="center"/>
            </w:pPr>
            <w:r>
              <w:t>线下/混合式</w:t>
            </w:r>
          </w:p>
        </w:tc>
        <w:tc>
          <w:tcPr>
            <w:tcW w:w="1599" w:type="dxa"/>
          </w:tcPr>
          <w:p w14:paraId="4BFE995D">
            <w:pPr>
              <w:pStyle w:val="14"/>
              <w:bidi w:val="0"/>
              <w:jc w:val="center"/>
            </w:pPr>
            <w:r>
              <w:t>视频作业+综合实操</w:t>
            </w:r>
          </w:p>
        </w:tc>
      </w:tr>
    </w:tbl>
    <w:p w14:paraId="008CB1CD">
      <w:pPr>
        <w:pStyle w:val="2"/>
        <w:bidi w:val="0"/>
        <w:rPr>
          <w:rFonts w:hint="eastAsia"/>
        </w:rPr>
      </w:pPr>
      <w:r>
        <w:rPr>
          <w:rFonts w:hint="eastAsia"/>
        </w:rPr>
        <w:t>七、教学安排</w:t>
      </w:r>
    </w:p>
    <w:p w14:paraId="14F5CB19">
      <w:pPr>
        <w:bidi w:val="0"/>
        <w:rPr>
          <w:rFonts w:hint="eastAsia"/>
        </w:rPr>
      </w:pPr>
      <w:r>
        <w:t>排班方式：原则上招收</w:t>
      </w:r>
      <w:r>
        <w:rPr>
          <w:rFonts w:ascii="Times New Roman" w:hAnsi="Times New Roman"/>
        </w:rPr>
        <w:t>1</w:t>
      </w:r>
      <w:r>
        <w:t>个班，单独编班教学，小班化组织项目学习与实训指导；</w:t>
      </w:r>
    </w:p>
    <w:p w14:paraId="5CCB4434">
      <w:pPr>
        <w:bidi w:val="0"/>
        <w:rPr>
          <w:rFonts w:hint="eastAsia"/>
        </w:rPr>
      </w:pPr>
      <w:r>
        <w:t>上课时间：优先安排在晚上、周末或相对集中的实践时段，尽量不与主修专业课程冲突；</w:t>
      </w:r>
    </w:p>
    <w:p w14:paraId="59EE072A">
      <w:pPr>
        <w:bidi w:val="0"/>
        <w:rPr>
          <w:rFonts w:hint="eastAsia"/>
        </w:rPr>
      </w:pPr>
      <w:r>
        <w:t>开课学期：</w:t>
      </w:r>
      <w:r>
        <w:rPr>
          <w:rFonts w:ascii="Times New Roman" w:hAnsi="Times New Roman"/>
        </w:rPr>
        <w:t>2025</w:t>
      </w:r>
      <w:r>
        <w:t>—</w:t>
      </w:r>
      <w:r>
        <w:rPr>
          <w:rFonts w:ascii="Times New Roman" w:hAnsi="Times New Roman"/>
        </w:rPr>
        <w:t>2026</w:t>
      </w:r>
      <w:r>
        <w:t>学年第二学期；</w:t>
      </w:r>
    </w:p>
    <w:p w14:paraId="4CDAB2B0">
      <w:pPr>
        <w:bidi w:val="0"/>
        <w:rPr>
          <w:rFonts w:hint="eastAsia"/>
        </w:rPr>
      </w:pPr>
      <w:r>
        <w:t>授课模式：专题讲授、案例研讨、工作坊实训、项目训练、企业导师讲座与场景实践相结合；</w:t>
      </w:r>
    </w:p>
    <w:p w14:paraId="76F3BE67">
      <w:pPr>
        <w:bidi w:val="0"/>
        <w:rPr>
          <w:rFonts w:hint="eastAsia"/>
        </w:rPr>
      </w:pPr>
      <w:r>
        <w:t>考核方式：坚持过程性评价与结果性评价并重，采用课堂参与、项目成果、实操表现、报告撰写、展示答辩等多元方式综合评价。</w:t>
      </w:r>
      <w:bookmarkStart w:id="5" w:name="heading_12"/>
    </w:p>
    <w:p w14:paraId="4CEAA605">
      <w:pPr>
        <w:pStyle w:val="2"/>
        <w:bidi w:val="0"/>
        <w:rPr>
          <w:rFonts w:hint="eastAsia"/>
        </w:rPr>
      </w:pPr>
      <w:r>
        <w:rPr>
          <w:rFonts w:hint="eastAsia"/>
        </w:rPr>
        <w:t>八、报名、选拔方式</w:t>
      </w:r>
      <w:bookmarkEnd w:id="5"/>
    </w:p>
    <w:p w14:paraId="58CCF352">
      <w:pPr>
        <w:bidi w:val="0"/>
        <w:rPr>
          <w:rFonts w:hint="eastAsia"/>
        </w:rPr>
      </w:pPr>
      <w:r>
        <w:t>报名方式：有意向者请在学校正式通知发布后，按要求提交微专业报名表及相关材料。可先加入招生咨询QQ群了解课程、排课与选拔安排；正式报名邮箱、QQ群及二维码以学校后续公布为准。</w:t>
      </w:r>
    </w:p>
    <w:p w14:paraId="57E86AF0">
      <w:pPr>
        <w:bidi w:val="0"/>
        <w:rPr>
          <w:rFonts w:hint="eastAsia"/>
        </w:rPr>
      </w:pPr>
      <w:r>
        <w:t>选拔方式：坚持公开、公平、公正原则，原则上采取材料审核与综合评估相结合的方式进行遴选。学校将组织微专业专家小组，对学生的学习基础、发展意愿、综合素质与修读条件进行审核。</w:t>
      </w:r>
    </w:p>
    <w:p w14:paraId="39397701">
      <w:pPr>
        <w:bidi w:val="0"/>
        <w:rPr>
          <w:rFonts w:hint="eastAsia"/>
        </w:rPr>
      </w:pPr>
      <w:r>
        <w:t>选拔程序：</w:t>
      </w:r>
    </w:p>
    <w:p w14:paraId="70AB0866">
      <w:pPr>
        <w:bidi w:val="0"/>
        <w:rPr>
          <w:rFonts w:hint="eastAsia"/>
        </w:rPr>
      </w:pPr>
      <w:r>
        <w:t>（</w:t>
      </w:r>
      <w:r>
        <w:rPr>
          <w:rFonts w:ascii="Times New Roman" w:hAnsi="Times New Roman"/>
        </w:rPr>
        <w:t>1</w:t>
      </w:r>
      <w:r>
        <w:t>）报名与资格审查：学生在规定时间内提交报名材料，由专家小组进行资格审核；</w:t>
      </w:r>
    </w:p>
    <w:p w14:paraId="357F82BD">
      <w:pPr>
        <w:bidi w:val="0"/>
        <w:rPr>
          <w:rFonts w:hint="eastAsia"/>
        </w:rPr>
      </w:pPr>
      <w:r>
        <w:t>（</w:t>
      </w:r>
      <w:r>
        <w:rPr>
          <w:rFonts w:ascii="Times New Roman" w:hAnsi="Times New Roman"/>
        </w:rPr>
        <w:t>2</w:t>
      </w:r>
      <w:r>
        <w:t>）综合评估与录取：根据报名情况开展材料评审，必要时组织交流访谈，并在规定时间内完成拟录取名单确定；</w:t>
      </w:r>
    </w:p>
    <w:p w14:paraId="042BA0F7">
      <w:pPr>
        <w:bidi w:val="0"/>
        <w:rPr>
          <w:rFonts w:hint="eastAsia"/>
        </w:rPr>
      </w:pPr>
      <w:r>
        <w:t>（</w:t>
      </w:r>
      <w:r>
        <w:rPr>
          <w:rFonts w:ascii="Times New Roman" w:hAnsi="Times New Roman"/>
        </w:rPr>
        <w:t>3</w:t>
      </w:r>
      <w:r>
        <w:t>）结果公示：录取结果经公示无异议后，按学校相关流程报送教务部门备案。</w:t>
      </w:r>
    </w:p>
    <w:p w14:paraId="2B54FC4E">
      <w:pPr>
        <w:pStyle w:val="2"/>
        <w:bidi w:val="0"/>
        <w:rPr>
          <w:rFonts w:hint="eastAsia"/>
        </w:rPr>
      </w:pPr>
      <w:r>
        <w:rPr>
          <w:rFonts w:hint="eastAsia"/>
        </w:rPr>
        <w:t>九、联系方式</w:t>
      </w:r>
    </w:p>
    <w:p w14:paraId="6165CBEB">
      <w:pPr>
        <w:bidi w:val="0"/>
        <w:rPr>
          <w:rFonts w:hint="default" w:eastAsia="仿宋"/>
          <w:lang w:val="en-US" w:eastAsia="zh-CN"/>
        </w:rPr>
      </w:pPr>
      <w:r>
        <w:t>联系人：体育与健康系微专业项目组</w:t>
      </w:r>
      <w:r>
        <w:rPr>
          <w:rFonts w:hint="eastAsia"/>
          <w:lang w:val="en-US" w:eastAsia="zh-CN"/>
        </w:rPr>
        <w:t>孙老师</w:t>
      </w:r>
    </w:p>
    <w:p w14:paraId="50801902">
      <w:pPr>
        <w:bidi w:val="0"/>
        <w:rPr>
          <w:rFonts w:hint="eastAsia"/>
          <w:lang w:val="en-US" w:eastAsia="zh-CN"/>
        </w:rPr>
      </w:pPr>
      <w:r>
        <w:t>招生咨询QQ群：</w:t>
      </w:r>
    </w:p>
    <w:p w14:paraId="092E8515">
      <w:pPr>
        <w:bidi w:val="0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24130</wp:posOffset>
            </wp:positionV>
            <wp:extent cx="1451610" cy="2078990"/>
            <wp:effectExtent l="0" t="0" r="15240" b="16510"/>
            <wp:wrapSquare wrapText="bothSides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A26042">
      <w:pPr>
        <w:bidi w:val="0"/>
      </w:pPr>
    </w:p>
    <w:p w14:paraId="3355D3A3">
      <w:pPr>
        <w:bidi w:val="0"/>
      </w:pPr>
    </w:p>
    <w:p w14:paraId="2A125E55">
      <w:pPr>
        <w:bidi w:val="0"/>
      </w:pPr>
    </w:p>
    <w:p w14:paraId="0CB6159E">
      <w:pPr>
        <w:bidi w:val="0"/>
      </w:pPr>
    </w:p>
    <w:p w14:paraId="38496959">
      <w:pPr>
        <w:bidi w:val="0"/>
      </w:pPr>
    </w:p>
    <w:p w14:paraId="25DF671B">
      <w:pPr>
        <w:bidi w:val="0"/>
        <w:rPr>
          <w:rFonts w:hint="default"/>
          <w:lang w:val="en-US" w:eastAsia="zh-CN"/>
        </w:rPr>
      </w:pPr>
      <w:r>
        <w:t>咨询电话：</w:t>
      </w:r>
      <w:r>
        <w:rPr>
          <w:rFonts w:hint="eastAsia" w:ascii="Times New Roman" w:hAnsi="Times New Roman"/>
          <w:lang w:val="en-US" w:eastAsia="zh-CN"/>
        </w:rPr>
        <w:t>15008518151</w:t>
      </w:r>
    </w:p>
    <w:p w14:paraId="4D6C13FB">
      <w:pPr>
        <w:bidi w:val="0"/>
        <w:rPr>
          <w:rFonts w:hint="eastAsia"/>
          <w:lang w:eastAsia="zh-CN"/>
        </w:rPr>
      </w:pPr>
      <w:r>
        <w:t>咨询邮箱：</w:t>
      </w:r>
      <w:r>
        <w:rPr>
          <w:rFonts w:ascii="Times New Roman" w:hAnsi="Times New Roman"/>
        </w:rPr>
        <w:t>125629912</w:t>
      </w:r>
      <w:r>
        <w:t>@</w:t>
      </w:r>
      <w:r>
        <w:rPr>
          <w:rFonts w:hint="eastAsia"/>
        </w:rPr>
        <w:t>qq.com</w:t>
      </w:r>
    </w:p>
    <w:p w14:paraId="0C616EDA">
      <w:pPr>
        <w:bidi w:val="0"/>
        <w:rPr>
          <w:rFonts w:hint="eastAsia"/>
          <w:lang w:val="en-US" w:eastAsia="zh-CN"/>
        </w:rPr>
      </w:pPr>
    </w:p>
    <w:p w14:paraId="7D2E2706">
      <w:pPr>
        <w:bidi w:val="0"/>
        <w:rPr>
          <w:rFonts w:hint="eastAsia"/>
          <w:lang w:val="en-US" w:eastAsia="zh-CN"/>
        </w:rPr>
      </w:pPr>
    </w:p>
    <w:p w14:paraId="15F0E7DB">
      <w:pPr>
        <w:bidi w:val="0"/>
        <w:rPr>
          <w:rFonts w:hint="eastAsia"/>
          <w:lang w:val="en-US" w:eastAsia="zh-CN"/>
        </w:rPr>
      </w:pPr>
      <w:bookmarkStart w:id="6" w:name="_GoBack"/>
      <w:bookmarkEnd w:id="6"/>
    </w:p>
    <w:sectPr>
      <w:headerReference r:id="rId5" w:type="default"/>
      <w:footerReference r:id="rId6" w:type="default"/>
      <w:pgSz w:w="11905" w:h="1684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46C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4BA3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73C60"/>
    <w:rsid w:val="027F614F"/>
    <w:rsid w:val="07ED742B"/>
    <w:rsid w:val="16BB08D6"/>
    <w:rsid w:val="17C824F4"/>
    <w:rsid w:val="189C2238"/>
    <w:rsid w:val="1CE1063D"/>
    <w:rsid w:val="201D78F9"/>
    <w:rsid w:val="21202C27"/>
    <w:rsid w:val="28044637"/>
    <w:rsid w:val="3CA17A87"/>
    <w:rsid w:val="40473C60"/>
    <w:rsid w:val="40F83822"/>
    <w:rsid w:val="43FC7399"/>
    <w:rsid w:val="458076DD"/>
    <w:rsid w:val="483C4C47"/>
    <w:rsid w:val="65242442"/>
    <w:rsid w:val="7869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eastAsia="黑体" w:cs="黑体" w:asciiTheme="minorAscii" w:hAnsiTheme="minorAscii"/>
      <w:kern w:val="44"/>
      <w:sz w:val="32"/>
      <w:szCs w:val="32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32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spacing w:before="0" w:beforeAutospacing="0" w:after="0" w:afterAutospacing="0" w:line="560" w:lineRule="exact"/>
      <w:ind w:firstLine="640" w:firstLineChars="200"/>
      <w:jc w:val="left"/>
      <w:outlineLvl w:val="2"/>
    </w:pPr>
    <w:rPr>
      <w:rFonts w:hint="eastAsia" w:ascii="宋体" w:hAnsi="宋体" w:eastAsia="仿宋" w:cs="宋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标题样式"/>
    <w:basedOn w:val="1"/>
    <w:qFormat/>
    <w:uiPriority w:val="0"/>
    <w:pPr>
      <w:ind w:firstLine="0" w:firstLineChars="0"/>
      <w:jc w:val="center"/>
    </w:pPr>
    <w:rPr>
      <w:rFonts w:hint="default" w:eastAsia="方正小标宋简体"/>
      <w:sz w:val="44"/>
    </w:rPr>
  </w:style>
  <w:style w:type="character" w:customStyle="1" w:styleId="12">
    <w:name w:val="标题 2 Char"/>
    <w:link w:val="3"/>
    <w:qFormat/>
    <w:uiPriority w:val="0"/>
    <w:rPr>
      <w:rFonts w:ascii="Arial" w:hAnsi="Arial" w:eastAsia="楷体"/>
      <w:sz w:val="32"/>
    </w:rPr>
  </w:style>
  <w:style w:type="character" w:customStyle="1" w:styleId="13">
    <w:name w:val="标题 3 Char"/>
    <w:link w:val="4"/>
    <w:qFormat/>
    <w:uiPriority w:val="0"/>
    <w:rPr>
      <w:rFonts w:hint="eastAsia" w:ascii="宋体" w:hAnsi="宋体" w:eastAsia="仿宋" w:cs="宋体"/>
      <w:bCs/>
      <w:kern w:val="0"/>
      <w:sz w:val="32"/>
      <w:szCs w:val="27"/>
      <w:lang w:bidi="ar"/>
    </w:rPr>
  </w:style>
  <w:style w:type="paragraph" w:customStyle="1" w:styleId="14">
    <w:name w:val="表格内容"/>
    <w:basedOn w:val="1"/>
    <w:qFormat/>
    <w:uiPriority w:val="0"/>
    <w:pPr>
      <w:spacing w:line="300" w:lineRule="exact"/>
      <w:ind w:firstLine="0" w:firstLineChars="0"/>
    </w:pPr>
    <w:rPr>
      <w:rFonts w:hint="default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2374</Words>
  <Characters>2462</Characters>
  <Lines>0</Lines>
  <Paragraphs>0</Paragraphs>
  <TotalTime>2</TotalTime>
  <ScaleCrop>false</ScaleCrop>
  <LinksUpToDate>false</LinksUpToDate>
  <CharactersWithSpaces>2462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2026-01-13T04:16:00Z</dcterms:created>
  <dc:creator>吴厚毅</dc:creator>
  <cp:lastModifiedBy>吴厚毅</cp:lastModifiedBy>
  <dcterms:modified xsi:type="dcterms:W3CDTF">2026-04-28T06:56:36Z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FA3539EF079D489C801DC90A29AC1E9A_13</vt:lpwstr>
  </property>
  <property fmtid="{D5CDD505-2E9C-101B-9397-08002B2CF9AE}" pid="4" name="KSOTemplateDocerSaveRecord">
    <vt:lpwstr>eyJoZGlkIjoiNjVkOTMwOTM3ZTA3NzhmMjNiYzUwNThlNDQ3YjZiODQiLCJ1c2VySWQiOiIxNzU1MDU0MTE4In0=</vt:lpwstr>
  </property>
</Properties>
</file>